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="008D3BCB" w:rsidRPr="00B91A6B">
          <w:rPr>
            <w:rStyle w:val="Hyperlink"/>
            <w:lang w:val="hr-HR" w:eastAsia="sr-Cyrl-RS"/>
          </w:rPr>
          <w:t>POGLAVLJE 2. OSNOVNI PODACI O DRŽAVNOM TIJELU I INFORMATORU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3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="008D3BCB" w:rsidRPr="00B91A6B">
          <w:rPr>
            <w:rStyle w:val="Hyperlink"/>
            <w:lang w:val="hr-HR" w:eastAsia="sr-Cyrl-RS"/>
          </w:rPr>
          <w:t>POGLAVLJE 3. ORGANIZACIJSKA STRUKTURA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5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="008D3BCB" w:rsidRPr="00B91A6B">
          <w:rPr>
            <w:rStyle w:val="Hyperlink"/>
            <w:lang w:val="hr-HR" w:eastAsia="sr-Cyrl-RS"/>
          </w:rPr>
          <w:t>POGLAVLJE 4. OPIS FUNKCIJA STARJEŠINA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="008D3BCB" w:rsidRPr="00B91A6B">
          <w:rPr>
            <w:rStyle w:val="Hyperlink"/>
            <w:lang w:val="hr-HR" w:eastAsia="sr-Cyrl-RS"/>
          </w:rPr>
          <w:t>POGLAVLJE 5. OPIS PRAVILA U VEZI S JAVNOŠĆU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="008D3BCB"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="008D3BCB" w:rsidRPr="00B91A6B">
          <w:rPr>
            <w:rStyle w:val="Hyperlink"/>
            <w:lang w:val="hr-HR" w:eastAsia="sr-Cyrl-RS"/>
          </w:rPr>
          <w:t>POGLAVLJE 7. OPIS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="008D3BCB" w:rsidRPr="00B91A6B">
          <w:rPr>
            <w:rStyle w:val="Hyperlink"/>
            <w:lang w:val="hr-HR" w:eastAsia="sr-Cyrl-RS"/>
          </w:rPr>
          <w:t>POGLAVLJE 8. OPIS POSTUPANJA U OKVIRU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15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="008D3BCB" w:rsidRPr="00B91A6B">
          <w:rPr>
            <w:rStyle w:val="Hyperlink"/>
            <w:lang w:val="hr-HR" w:eastAsia="sr-Cyrl-RS"/>
          </w:rPr>
          <w:t>POGLAVLJE 9. NAVOĐENJE</w:t>
        </w:r>
        <w:bookmarkStart w:id="2" w:name="_GoBack"/>
        <w:bookmarkEnd w:id="2"/>
        <w:r w:rsidR="008D3BCB" w:rsidRPr="00B91A6B">
          <w:rPr>
            <w:rStyle w:val="Hyperlink"/>
            <w:lang w:val="hr-HR" w:eastAsia="sr-Cyrl-RS"/>
          </w:rPr>
          <w:t xml:space="preserve"> PROPISA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16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0" w:history="1">
        <w:r w:rsidR="008D3BCB" w:rsidRPr="00B91A6B">
          <w:rPr>
            <w:rStyle w:val="Hyperlink"/>
            <w:lang w:val="hr-HR" w:eastAsia="sr-Cyrl-RS"/>
          </w:rPr>
          <w:t>POGLAVLJE 10. USLUGE KOJE TIJELO PRUŽA ZAINTERESIRANIM OSOBAMA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1" w:history="1">
        <w:r w:rsidR="008D3BCB" w:rsidRPr="00B91A6B">
          <w:rPr>
            <w:rStyle w:val="Hyperlink"/>
            <w:lang w:val="hr-HR" w:eastAsia="sr-Cyrl-RS"/>
          </w:rPr>
          <w:t>POGLAVLJE 11. POSTUPAK RADI PRUŽANJA USLUGA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="008D3BCB" w:rsidRPr="00B91A6B">
          <w:rPr>
            <w:rStyle w:val="Hyperlink"/>
            <w:lang w:val="hr-HR" w:eastAsia="sr-Cyrl-RS"/>
          </w:rPr>
          <w:t>POGLAVLJE 12. PREGLED PODATAKA O PRUŽENIM USLUGAMA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="008D3BCB" w:rsidRPr="00B91A6B">
          <w:rPr>
            <w:rStyle w:val="Hyperlink"/>
            <w:lang w:val="hr-HR" w:eastAsia="sr-Cyrl-RS"/>
          </w:rPr>
          <w:t>POGLAVLJE 13. PODACI O PRIHODIMA I RASHODIMA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="008D3BCB" w:rsidRPr="00B91A6B">
          <w:rPr>
            <w:rStyle w:val="Hyperlink"/>
            <w:lang w:val="hr-HR" w:eastAsia="sr-Cyrl-RS"/>
          </w:rPr>
          <w:t>POGLAVLJE 14. PODACI O JAVNIM NABAVAMA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="008D3BCB" w:rsidRPr="00B91A6B">
          <w:rPr>
            <w:rStyle w:val="Hyperlink"/>
            <w:lang w:val="hr-HR" w:eastAsia="sr-Cyrl-RS"/>
          </w:rPr>
          <w:t>POGLAVLJE 15. PODACI O DRŽAVNOJ POMOĆI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="008D3BCB"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="008D3BCB" w:rsidRPr="00B91A6B">
          <w:rPr>
            <w:rStyle w:val="Hyperlink"/>
            <w:lang w:val="hr-HR" w:eastAsia="sr-Cyrl-RS"/>
          </w:rPr>
          <w:t>POGLAVLJE 17. PODACI O SREDSTVIMA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="008D3BCB" w:rsidRPr="00B91A6B">
          <w:rPr>
            <w:rStyle w:val="Hyperlink"/>
            <w:lang w:val="hr-HR" w:eastAsia="sr-Cyrl-RS"/>
          </w:rPr>
          <w:t>POGLAVLJE 18. ČUVANJE NOSAČA INFORMACIJA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="008D3BCB" w:rsidRPr="00B91A6B">
          <w:rPr>
            <w:rStyle w:val="Hyperlink"/>
            <w:lang w:val="hr-HR" w:eastAsia="sr-Cyrl-RS"/>
          </w:rPr>
          <w:t>POGLAVLJE 19. VRSTE INFORMACIJA U POSJEDU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="008D3BCB"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513BD9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="008D3BCB"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E03060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055AD5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</w:t>
      </w:r>
      <w:r w:rsidR="00E03060">
        <w:rPr>
          <w:noProof w:val="0"/>
          <w:sz w:val="22"/>
          <w:szCs w:val="22"/>
          <w:lang w:val="hr-HR"/>
        </w:rPr>
        <w:t>1</w:t>
      </w:r>
      <w:r w:rsidR="007C79A2">
        <w:rPr>
          <w:noProof w:val="0"/>
          <w:sz w:val="22"/>
          <w:szCs w:val="22"/>
          <w:lang w:val="hr-HR"/>
        </w:rPr>
        <w:t>.</w:t>
      </w:r>
      <w:r w:rsidR="004A74EA">
        <w:rPr>
          <w:noProof w:val="0"/>
          <w:sz w:val="22"/>
          <w:szCs w:val="22"/>
          <w:lang w:val="hr-HR"/>
        </w:rPr>
        <w:t xml:space="preserve"> </w:t>
      </w:r>
      <w:r w:rsidR="00E03060" w:rsidRPr="006D095F">
        <w:rPr>
          <w:noProof w:val="0"/>
          <w:sz w:val="22"/>
          <w:szCs w:val="22"/>
          <w:lang w:val="hr-HR"/>
        </w:rPr>
        <w:t xml:space="preserve">prosinca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513BD9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D13FE2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6D095F" w:rsidRDefault="00D13FE2" w:rsidP="00D13FE2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6D095F" w:rsidRDefault="00D13FE2" w:rsidP="00D13FE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D13FE2" w:rsidRPr="006D095F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>
              <w:rPr>
                <w:noProof w:val="0"/>
                <w:sz w:val="16"/>
                <w:szCs w:val="16"/>
                <w:lang w:val="hr-HR"/>
              </w:rPr>
              <w:t>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6D095F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za 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6D095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055AD5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094B1B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094B1B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5861E8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5861E8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151CFF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151CF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4A74EA" w:rsidRDefault="004A74EA" w:rsidP="005861E8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A74EA">
              <w:rPr>
                <w:sz w:val="16"/>
                <w:szCs w:val="16"/>
                <w:lang w:val="sr-Cyrl-RS"/>
              </w:rPr>
              <w:t>1 službenik na položaju</w:t>
            </w:r>
          </w:p>
          <w:p w:rsidR="00706D6F" w:rsidRPr="006D095F" w:rsidRDefault="00151CFF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861E8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B94FD5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B94FD5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B94FD5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151CFF" w:rsidP="00B94FD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51252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B94FD5">
              <w:rPr>
                <w:noProof w:val="0"/>
                <w:sz w:val="16"/>
                <w:szCs w:val="16"/>
                <w:lang w:val="hr-HR"/>
              </w:rPr>
              <w:t>a</w:t>
            </w:r>
            <w:r w:rsidR="00951252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51252"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="00951252"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5861E8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861E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5861E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14085D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66DE4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151CFF" w:rsidP="005861E8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466D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5861E8">
              <w:rPr>
                <w:noProof w:val="0"/>
                <w:sz w:val="16"/>
                <w:szCs w:val="16"/>
                <w:lang w:val="hr-HR"/>
              </w:rPr>
              <w:t>a</w:t>
            </w:r>
            <w:r w:rsidR="00466DE4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5861E8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151CFF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951252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8323D1" w:rsidRPr="006D095F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B94FD5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B94FD5">
              <w:rPr>
                <w:b/>
                <w:noProof w:val="0"/>
                <w:sz w:val="16"/>
                <w:szCs w:val="16"/>
                <w:lang w:val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151CFF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4A74EA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151CFF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CA7DDD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CA7DDD">
        <w:rPr>
          <w:noProof w:val="0"/>
          <w:sz w:val="22"/>
          <w:szCs w:val="22"/>
          <w:lang w:val="hr-HR"/>
        </w:rPr>
        <w:t>e pravne, stručno-</w:t>
      </w:r>
      <w:r w:rsidR="00433E89" w:rsidRPr="006D095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materijalno-</w:t>
      </w:r>
      <w:r w:rsidR="00433E89" w:rsidRPr="006D095F">
        <w:rPr>
          <w:noProof w:val="0"/>
          <w:sz w:val="22"/>
          <w:szCs w:val="22"/>
          <w:lang w:val="hr-HR"/>
        </w:rPr>
        <w:t>financ</w:t>
      </w:r>
      <w:r w:rsidR="00CA7DDD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6D095F">
        <w:rPr>
          <w:noProof w:val="0"/>
          <w:sz w:val="22"/>
          <w:szCs w:val="22"/>
          <w:lang w:val="hr-HR"/>
        </w:rPr>
        <w:t>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CA7DDD">
        <w:rPr>
          <w:noProof w:val="0"/>
          <w:sz w:val="22"/>
          <w:szCs w:val="22"/>
          <w:lang w:val="hr-HR"/>
        </w:rPr>
        <w:t>. informatičke, stručno-</w:t>
      </w:r>
      <w:r w:rsidR="00433E89" w:rsidRPr="006D095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</w:t>
      </w:r>
      <w:r w:rsidR="00CA7DDD">
        <w:rPr>
          <w:noProof w:val="0"/>
          <w:sz w:val="22"/>
          <w:szCs w:val="22"/>
          <w:lang w:val="hr-HR"/>
        </w:rPr>
        <w:t>–operativne, statističko-</w:t>
      </w:r>
      <w:r w:rsidR="00433E89" w:rsidRPr="006D095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CA7DDD">
        <w:rPr>
          <w:noProof w:val="0"/>
          <w:sz w:val="22"/>
          <w:szCs w:val="22"/>
          <w:lang w:val="hr-HR"/>
        </w:rPr>
        <w:t>prateće i pomoćno–</w:t>
      </w:r>
      <w:r w:rsidR="00433E89" w:rsidRPr="006D095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CA7DDD">
        <w:rPr>
          <w:noProof w:val="0"/>
          <w:sz w:val="22"/>
          <w:szCs w:val="22"/>
          <w:lang w:val="hr-HR"/>
        </w:rPr>
        <w:t>.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</w:t>
      </w:r>
      <w:r w:rsidR="00124082">
        <w:rPr>
          <w:noProof w:val="0"/>
          <w:sz w:val="22"/>
          <w:szCs w:val="22"/>
          <w:lang w:val="hr-HR"/>
        </w:rPr>
        <w:t>at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A7DDD">
        <w:rPr>
          <w:bCs w:val="0"/>
          <w:noProof w:val="0"/>
          <w:sz w:val="22"/>
          <w:szCs w:val="22"/>
          <w:lang w:val="hr-HR"/>
        </w:rPr>
        <w:t>sastavlja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10/10, 22/10, 19/11 i 16/14</w:t>
      </w:r>
      <w:r w:rsidRPr="006D095F">
        <w:rPr>
          <w:noProof w:val="0"/>
          <w:sz w:val="22"/>
          <w:szCs w:val="22"/>
          <w:lang w:val="hr-HR"/>
        </w:rPr>
        <w:t>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broj: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21/16, 113/2017, 113/2017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</w:t>
      </w:r>
      <w:r w:rsidR="003642AF">
        <w:rPr>
          <w:noProof w:val="0"/>
          <w:sz w:val="22"/>
          <w:szCs w:val="22"/>
          <w:lang w:val="hr-HR"/>
        </w:rPr>
        <w:t>avama („Sl. glasnik RS“, broj:</w:t>
      </w:r>
      <w:r w:rsidRPr="006D095F">
        <w:rPr>
          <w:noProof w:val="0"/>
          <w:sz w:val="22"/>
          <w:szCs w:val="22"/>
          <w:lang w:val="hr-HR"/>
        </w:rPr>
        <w:t xml:space="preserve">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 xml:space="preserve">i Zakon o javnim nabavama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stupio na snagu 1.1.2020.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>eni od 1.7.2020.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101/05 – dr. zakon, 36/09 – dr. z</w:t>
      </w:r>
      <w:r w:rsidRPr="006D095F">
        <w:rPr>
          <w:noProof w:val="0"/>
          <w:sz w:val="22"/>
          <w:szCs w:val="22"/>
          <w:lang w:val="hr-HR"/>
        </w:rPr>
        <w:t>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24/05,</w:t>
      </w:r>
      <w:r w:rsidRPr="006D095F">
        <w:rPr>
          <w:noProof w:val="0"/>
          <w:sz w:val="22"/>
          <w:szCs w:val="22"/>
          <w:lang w:val="hr-HR"/>
        </w:rPr>
        <w:t xml:space="preserve">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23/13 – Odluka US,</w:t>
      </w:r>
      <w:r w:rsidRPr="006D095F">
        <w:rPr>
          <w:noProof w:val="0"/>
          <w:sz w:val="22"/>
          <w:szCs w:val="22"/>
          <w:lang w:val="hr-HR"/>
        </w:rPr>
        <w:t xml:space="preserve">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29/78, 39/85, 45/89 – O</w:t>
      </w:r>
      <w:r w:rsidRPr="006D095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31/93 i „Sl. list SCG“,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673A6" w:rsidRPr="006D095F">
        <w:rPr>
          <w:noProof w:val="0"/>
          <w:sz w:val="22"/>
          <w:szCs w:val="22"/>
          <w:lang w:val="hr-HR"/>
        </w:rPr>
        <w:t xml:space="preserve">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72/09, 81/09 – ispr., 64/10,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24/11,</w:t>
      </w:r>
      <w:r w:rsidR="00CA7DDD">
        <w:rPr>
          <w:noProof w:val="0"/>
          <w:sz w:val="22"/>
          <w:szCs w:val="22"/>
          <w:lang w:val="hr-HR"/>
        </w:rPr>
        <w:t xml:space="preserve">  </w:t>
      </w:r>
      <w:r w:rsidR="005D76D2" w:rsidRPr="006D095F">
        <w:rPr>
          <w:noProof w:val="0"/>
          <w:sz w:val="22"/>
          <w:szCs w:val="22"/>
          <w:lang w:val="hr-HR"/>
        </w:rPr>
        <w:t>121/12,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42/13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- Odluka US, 50/13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 xml:space="preserve">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 xml:space="preserve">lužbeni list SFRJ“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A203B">
        <w:rPr>
          <w:noProof w:val="0"/>
          <w:sz w:val="22"/>
          <w:szCs w:val="22"/>
          <w:lang w:val="hr-HR"/>
        </w:rPr>
        <w:t>53/88 i 54/88 - ispr. i „Sl. list SRJ“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dr. zakon, 72/2009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 xml:space="preserve">dr. zakon, </w:t>
      </w:r>
      <w:r w:rsidR="00CA7DDD">
        <w:rPr>
          <w:noProof w:val="0"/>
          <w:sz w:val="22"/>
          <w:szCs w:val="22"/>
          <w:lang w:val="hr-HR"/>
        </w:rPr>
        <w:t>43/2011 - O</w:t>
      </w:r>
      <w:r w:rsidRPr="006D095F">
        <w:rPr>
          <w:noProof w:val="0"/>
          <w:sz w:val="22"/>
          <w:szCs w:val="22"/>
          <w:lang w:val="hr-HR"/>
        </w:rPr>
        <w:t>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CA7DDD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6D095F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="003642AF">
        <w:rPr>
          <w:noProof w:val="0"/>
          <w:sz w:val="22"/>
          <w:szCs w:val="22"/>
          <w:lang w:val="hr-HR"/>
        </w:rPr>
        <w:t>, 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41/09, 53/10, 101/11 i 32/13</w:t>
      </w:r>
      <w:r w:rsidR="00CA7DDD">
        <w:rPr>
          <w:noProof w:val="0"/>
          <w:sz w:val="22"/>
          <w:szCs w:val="22"/>
          <w:lang w:val="hr-HR"/>
        </w:rPr>
        <w:t xml:space="preserve"> - O</w:t>
      </w:r>
      <w:r w:rsidRPr="006D095F">
        <w:rPr>
          <w:noProof w:val="0"/>
          <w:sz w:val="22"/>
          <w:szCs w:val="22"/>
          <w:lang w:val="hr-HR"/>
        </w:rPr>
        <w:t>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Pr="006D095F">
        <w:rPr>
          <w:noProof w:val="0"/>
          <w:sz w:val="22"/>
          <w:szCs w:val="22"/>
          <w:lang w:val="hr-HR"/>
        </w:rPr>
        <w:t xml:space="preserve">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  <w:r w:rsidR="00C34B98">
        <w:rPr>
          <w:noProof w:val="0"/>
          <w:sz w:val="22"/>
          <w:szCs w:val="22"/>
          <w:lang w:val="hr-HR"/>
        </w:rPr>
        <w:t>)</w:t>
      </w:r>
    </w:p>
    <w:p w:rsidR="00EC40BB" w:rsidRPr="006D095F" w:rsidRDefault="00513BD9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6D095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>
          <w:rPr>
            <w:noProof w:val="0"/>
            <w:sz w:val="22"/>
            <w:szCs w:val="22"/>
            <w:lang w:val="hr-HR"/>
          </w:rPr>
          <w:t>broj:</w:t>
        </w:r>
        <w:r w:rsidR="003642AF" w:rsidRPr="006D095F">
          <w:rPr>
            <w:noProof w:val="0"/>
            <w:sz w:val="22"/>
            <w:szCs w:val="22"/>
            <w:lang w:val="hr-HR"/>
          </w:rPr>
          <w:t xml:space="preserve"> </w:t>
        </w:r>
        <w:r w:rsidR="00EC40BB" w:rsidRPr="006D095F">
          <w:rPr>
            <w:noProof w:val="0"/>
            <w:sz w:val="22"/>
            <w:szCs w:val="22"/>
            <w:lang w:val="hr-HR"/>
          </w:rPr>
          <w:t xml:space="preserve">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 xml:space="preserve">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</w:t>
      </w:r>
      <w:r w:rsidR="004A74EA">
        <w:rPr>
          <w:noProof w:val="0"/>
          <w:sz w:val="22"/>
          <w:szCs w:val="22"/>
          <w:lang w:val="hr-HR"/>
        </w:rPr>
        <w:t>nomne Pokrajine Vojvodine za 2020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</w:t>
      </w:r>
      <w:r w:rsidR="004A74EA">
        <w:rPr>
          <w:noProof w:val="0"/>
          <w:sz w:val="22"/>
          <w:szCs w:val="22"/>
          <w:lang w:val="hr-HR"/>
        </w:rPr>
        <w:t>oj:</w:t>
      </w:r>
      <w:r w:rsidR="00A673A6" w:rsidRPr="006D095F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64/2019, 12/2020, 19/2020, 22/2020 i 25/2020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sadržaju natječajne dokumentacije u postupcima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5861E8">
        <w:rPr>
          <w:noProof w:val="0"/>
          <w:sz w:val="22"/>
          <w:szCs w:val="22"/>
          <w:lang w:val="hr-HR"/>
        </w:rPr>
        <w:t xml:space="preserve"> u 20</w:t>
      </w:r>
      <w:r w:rsidR="00AC3707" w:rsidRPr="005861E8">
        <w:rPr>
          <w:noProof w:val="0"/>
          <w:sz w:val="22"/>
          <w:szCs w:val="22"/>
          <w:lang w:val="hr-HR"/>
        </w:rPr>
        <w:t>20</w:t>
      </w:r>
      <w:r w:rsidR="00EA5443" w:rsidRPr="005861E8">
        <w:rPr>
          <w:noProof w:val="0"/>
          <w:sz w:val="22"/>
          <w:szCs w:val="22"/>
          <w:lang w:val="hr-HR"/>
        </w:rPr>
        <w:t>. godini</w:t>
      </w:r>
      <w:r w:rsidR="00AA203B" w:rsidRPr="005861E8">
        <w:rPr>
          <w:noProof w:val="0"/>
          <w:sz w:val="22"/>
          <w:szCs w:val="22"/>
          <w:lang w:val="hr-HR"/>
        </w:rPr>
        <w:t xml:space="preserve"> („Službeni glasnik RS“</w:t>
      </w:r>
      <w:r w:rsidRPr="005861E8">
        <w:rPr>
          <w:noProof w:val="0"/>
          <w:sz w:val="22"/>
          <w:szCs w:val="22"/>
          <w:lang w:val="hr-HR"/>
        </w:rPr>
        <w:t xml:space="preserve">, </w:t>
      </w:r>
      <w:r w:rsidR="003642AF" w:rsidRPr="005861E8">
        <w:rPr>
          <w:noProof w:val="0"/>
          <w:sz w:val="22"/>
          <w:szCs w:val="22"/>
          <w:lang w:val="hr-HR"/>
        </w:rPr>
        <w:t xml:space="preserve">broj: </w:t>
      </w:r>
      <w:r w:rsidR="00AF72DB" w:rsidRPr="005861E8">
        <w:rPr>
          <w:noProof w:val="0"/>
          <w:sz w:val="22"/>
          <w:szCs w:val="22"/>
          <w:lang w:val="hr-HR"/>
        </w:rPr>
        <w:t>7</w:t>
      </w:r>
      <w:r w:rsidR="00AC3707" w:rsidRPr="005861E8">
        <w:rPr>
          <w:noProof w:val="0"/>
          <w:sz w:val="22"/>
          <w:szCs w:val="22"/>
          <w:lang w:val="hr-HR"/>
        </w:rPr>
        <w:t>6</w:t>
      </w:r>
      <w:r w:rsidR="00AF72DB" w:rsidRPr="005861E8">
        <w:rPr>
          <w:noProof w:val="0"/>
          <w:sz w:val="22"/>
          <w:szCs w:val="22"/>
          <w:lang w:val="hr-HR"/>
        </w:rPr>
        <w:t>/201</w:t>
      </w:r>
      <w:r w:rsidR="00AC3707" w:rsidRPr="005861E8">
        <w:rPr>
          <w:noProof w:val="0"/>
          <w:sz w:val="22"/>
          <w:szCs w:val="22"/>
          <w:lang w:val="hr-HR"/>
        </w:rPr>
        <w:t>9 i 17/2020</w:t>
      </w:r>
      <w:r w:rsidRPr="005861E8">
        <w:rPr>
          <w:noProof w:val="0"/>
          <w:sz w:val="22"/>
          <w:szCs w:val="22"/>
          <w:lang w:val="hr-HR"/>
        </w:rPr>
        <w:t>)</w:t>
      </w:r>
    </w:p>
    <w:p w:rsidR="00A44853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korištenje Portala javnih nabava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lastRenderedPageBreak/>
        <w:t>Dinarska vrijednost europskih pragova („Službeni glasnik RS“, br. 93/20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5861E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>Pravilnik o sadržini Registra ponuđača i dokumentaciji koja se podnosi uz prijavu za registraciju ponuđača  („Službeni glasnik RS“, br. 17/20 i 94/20</w:t>
      </w:r>
      <w:r w:rsidR="009C1B60" w:rsidRPr="005861E8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861E8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5861E8">
        <w:rPr>
          <w:noProof w:val="0"/>
          <w:sz w:val="22"/>
          <w:szCs w:val="22"/>
          <w:lang w:val="hr-HR"/>
        </w:rPr>
        <w:t xml:space="preserve">u </w:t>
      </w:r>
      <w:r w:rsidR="005861E8" w:rsidRPr="005861E8">
        <w:rPr>
          <w:noProof w:val="0"/>
          <w:sz w:val="22"/>
          <w:szCs w:val="22"/>
          <w:lang w:val="hr-HR"/>
        </w:rPr>
        <w:t xml:space="preserve">Upravi </w:t>
      </w:r>
      <w:r w:rsidRPr="005861E8">
        <w:rPr>
          <w:noProof w:val="0"/>
          <w:sz w:val="22"/>
          <w:szCs w:val="22"/>
          <w:lang w:val="hr-HR"/>
        </w:rPr>
        <w:t>za zajedničke</w:t>
      </w:r>
      <w:r w:rsidRPr="006D095F">
        <w:rPr>
          <w:noProof w:val="0"/>
          <w:sz w:val="22"/>
          <w:szCs w:val="22"/>
          <w:lang w:val="hr-HR"/>
        </w:rPr>
        <w:t xml:space="preserve">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5861E8">
        <w:rPr>
          <w:noProof w:val="0"/>
          <w:sz w:val="22"/>
          <w:szCs w:val="22"/>
          <w:lang w:val="hr-HR"/>
        </w:rPr>
        <w:t>215</w:t>
      </w:r>
      <w:r w:rsidRPr="006D095F">
        <w:rPr>
          <w:noProof w:val="0"/>
          <w:sz w:val="22"/>
          <w:szCs w:val="22"/>
          <w:lang w:val="hr-HR"/>
        </w:rPr>
        <w:t>/20</w:t>
      </w:r>
      <w:r w:rsidR="005861E8">
        <w:rPr>
          <w:noProof w:val="0"/>
          <w:sz w:val="22"/>
          <w:szCs w:val="22"/>
          <w:lang w:val="hr-HR"/>
        </w:rPr>
        <w:t>20</w:t>
      </w:r>
      <w:r w:rsidR="00EA5443" w:rsidRPr="006D095F">
        <w:rPr>
          <w:noProof w:val="0"/>
          <w:sz w:val="22"/>
          <w:szCs w:val="22"/>
          <w:lang w:val="hr-HR"/>
        </w:rPr>
        <w:t>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AC3707">
        <w:rPr>
          <w:noProof w:val="0"/>
          <w:sz w:val="22"/>
          <w:szCs w:val="22"/>
          <w:lang w:val="hr-HR"/>
        </w:rPr>
        <w:t>0</w:t>
      </w:r>
      <w:r w:rsidR="005861E8">
        <w:rPr>
          <w:noProof w:val="0"/>
          <w:sz w:val="22"/>
          <w:szCs w:val="22"/>
          <w:lang w:val="hr-HR"/>
        </w:rPr>
        <w:t>8</w:t>
      </w:r>
      <w:r w:rsidRPr="006D095F">
        <w:rPr>
          <w:noProof w:val="0"/>
          <w:sz w:val="22"/>
          <w:szCs w:val="22"/>
          <w:lang w:val="hr-HR"/>
        </w:rPr>
        <w:t>.20</w:t>
      </w:r>
      <w:r w:rsidR="005861E8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evidencijama u području sigurnosti  i zdravlja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 xml:space="preserve">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72/06 i 84/06 – ispr</w:t>
      </w:r>
      <w:r w:rsidR="00C34B98">
        <w:rPr>
          <w:noProof w:val="0"/>
          <w:sz w:val="22"/>
          <w:szCs w:val="22"/>
          <w:lang w:val="hr-HR"/>
        </w:rPr>
        <w:t>.</w:t>
      </w:r>
      <w:r w:rsidR="00AF72DB" w:rsidRPr="006D095F">
        <w:rPr>
          <w:noProof w:val="0"/>
          <w:sz w:val="22"/>
          <w:szCs w:val="22"/>
          <w:lang w:val="hr-HR"/>
        </w:rPr>
        <w:t>, 4/2016,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>
        <w:rPr>
          <w:noProof w:val="0"/>
          <w:sz w:val="22"/>
          <w:szCs w:val="22"/>
          <w:lang w:val="hr-HR"/>
        </w:rPr>
        <w:t>asa: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>klasa</w:t>
      </w:r>
      <w:r w:rsidR="00C34B98">
        <w:rPr>
          <w:noProof w:val="0"/>
          <w:sz w:val="22"/>
          <w:szCs w:val="22"/>
          <w:lang w:val="hr-HR"/>
        </w:rPr>
        <w:t>: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 xml:space="preserve">u tijelima </w:t>
      </w:r>
      <w:r w:rsidR="004A74EA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6D095F">
        <w:rPr>
          <w:noProof w:val="0"/>
          <w:sz w:val="22"/>
          <w:szCs w:val="22"/>
          <w:lang w:val="hr-HR"/>
        </w:rPr>
        <w:t>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4A74EA">
        <w:rPr>
          <w:noProof w:val="0"/>
          <w:sz w:val="22"/>
          <w:szCs w:val="22"/>
          <w:lang w:val="hr-HR"/>
        </w:rPr>
        <w:t xml:space="preserve"> broj: 18/2019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uvjetima i načinu korištenja službenih vozila  („Službeni list APV“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Pr="006D095F">
        <w:rPr>
          <w:noProof w:val="0"/>
          <w:sz w:val="22"/>
          <w:szCs w:val="22"/>
          <w:lang w:val="hr-HR"/>
        </w:rPr>
        <w:t>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1/2012-ispr</w:t>
      </w:r>
      <w:r w:rsidR="00C34B9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Odluka</w:t>
      </w:r>
      <w:r w:rsidR="009C1B60" w:rsidRPr="006D095F">
        <w:rPr>
          <w:noProof w:val="0"/>
          <w:sz w:val="22"/>
          <w:szCs w:val="22"/>
          <w:lang w:val="hr-HR"/>
        </w:rPr>
        <w:t xml:space="preserve">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="009C1B60"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>
        <w:rPr>
          <w:noProof w:val="0"/>
          <w:sz w:val="22"/>
          <w:szCs w:val="22"/>
          <w:lang w:val="hr-HR"/>
        </w:rPr>
        <w:t>, broj:</w:t>
      </w:r>
      <w:r w:rsidR="00D73E13" w:rsidRPr="006D095F">
        <w:rPr>
          <w:noProof w:val="0"/>
          <w:sz w:val="22"/>
          <w:szCs w:val="22"/>
          <w:lang w:val="hr-HR"/>
        </w:rPr>
        <w:t xml:space="preserve"> 35/2019</w:t>
      </w:r>
      <w:r>
        <w:rPr>
          <w:noProof w:val="0"/>
          <w:sz w:val="22"/>
          <w:szCs w:val="22"/>
          <w:lang w:val="hr-HR"/>
        </w:rPr>
        <w:t xml:space="preserve"> i 19/2020</w:t>
      </w:r>
      <w:r w:rsidR="00D73E13"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803D58" w:rsidRPr="006D095F">
        <w:rPr>
          <w:noProof w:val="0"/>
          <w:sz w:val="22"/>
          <w:szCs w:val="22"/>
          <w:lang w:val="hr-HR"/>
        </w:rPr>
        <w:t>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4A74EA">
        <w:rPr>
          <w:noProof w:val="0"/>
          <w:sz w:val="22"/>
          <w:szCs w:val="22"/>
          <w:lang w:val="hr-HR"/>
        </w:rPr>
        <w:t xml:space="preserve">, </w:t>
      </w:r>
      <w:r w:rsidR="00D73E13" w:rsidRPr="006D095F">
        <w:rPr>
          <w:noProof w:val="0"/>
          <w:sz w:val="22"/>
          <w:szCs w:val="22"/>
          <w:lang w:val="hr-HR"/>
        </w:rPr>
        <w:t>4/2019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aneks</w:t>
      </w:r>
      <w:r w:rsidR="004A74EA">
        <w:rPr>
          <w:noProof w:val="0"/>
          <w:sz w:val="22"/>
          <w:szCs w:val="22"/>
          <w:lang w:val="hr-HR"/>
        </w:rPr>
        <w:t xml:space="preserve"> i 24/2020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aneks II.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</w:t>
      </w:r>
      <w:r w:rsidR="00C34B98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>
        <w:rPr>
          <w:noProof w:val="0"/>
          <w:sz w:val="22"/>
          <w:szCs w:val="22"/>
          <w:lang w:val="hr-HR" w:eastAsia="sr-Latn-CS"/>
        </w:rPr>
        <w:t>upora</w:t>
      </w:r>
      <w:r w:rsidR="00FA03C9" w:rsidRPr="00C82633">
        <w:rPr>
          <w:noProof w:val="0"/>
          <w:sz w:val="22"/>
          <w:szCs w:val="22"/>
          <w:lang w:val="hr-HR" w:eastAsia="sr-Latn-CS"/>
        </w:rPr>
        <w:t>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34B98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C82633">
        <w:rPr>
          <w:noProof w:val="0"/>
          <w:sz w:val="22"/>
          <w:szCs w:val="22"/>
          <w:lang w:val="hr-HR" w:eastAsia="sr-Latn-CS"/>
        </w:rPr>
        <w:t>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375F1D">
        <w:rPr>
          <w:noProof w:val="0"/>
          <w:sz w:val="22"/>
          <w:szCs w:val="22"/>
          <w:lang w:val="hr-HR" w:eastAsia="sr-Latn-CS"/>
        </w:rPr>
        <w:t xml:space="preserve"> 401-182/2019-2, od 30.0</w:t>
      </w:r>
      <w:r w:rsidR="00C82633" w:rsidRPr="00C82633">
        <w:rPr>
          <w:noProof w:val="0"/>
          <w:sz w:val="22"/>
          <w:szCs w:val="22"/>
          <w:lang w:val="hr-HR" w:eastAsia="sr-Latn-CS"/>
        </w:rPr>
        <w:t>1.2019. godine, Rješenjem o izmjeni rješenja o uporabi sredstava tekuće proračunske priču</w:t>
      </w:r>
      <w:r w:rsidR="00C34B98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>
        <w:rPr>
          <w:noProof w:val="0"/>
          <w:sz w:val="22"/>
          <w:szCs w:val="22"/>
          <w:lang w:val="hr-HR" w:eastAsia="sr-Latn-CS"/>
        </w:rPr>
        <w:t xml:space="preserve">čuve klasa: 401-182/2019-3, od </w:t>
      </w:r>
      <w:r w:rsidR="00375F1D">
        <w:rPr>
          <w:noProof w:val="0"/>
          <w:sz w:val="22"/>
          <w:szCs w:val="22"/>
          <w:lang w:val="hr-HR" w:eastAsia="sr-Latn-CS"/>
        </w:rPr>
        <w:t>05.0</w:t>
      </w:r>
      <w:r w:rsidR="00C82633" w:rsidRPr="00C82633">
        <w:rPr>
          <w:noProof w:val="0"/>
          <w:sz w:val="22"/>
          <w:szCs w:val="22"/>
          <w:lang w:val="hr-HR" w:eastAsia="sr-Latn-CS"/>
        </w:rPr>
        <w:t>2.2019. godine, Rješenjem o uporabi sredstava tekuće proračunske pričuve</w:t>
      </w:r>
      <w:r w:rsidR="00375F1D">
        <w:rPr>
          <w:noProof w:val="0"/>
          <w:sz w:val="22"/>
          <w:szCs w:val="22"/>
          <w:lang w:val="hr-HR" w:eastAsia="sr-Latn-CS"/>
        </w:rPr>
        <w:t xml:space="preserve"> klasa: 401-182/2019-10, od 20.0</w:t>
      </w:r>
      <w:r w:rsidR="00C82633" w:rsidRPr="00C82633">
        <w:rPr>
          <w:noProof w:val="0"/>
          <w:sz w:val="22"/>
          <w:szCs w:val="22"/>
          <w:lang w:val="hr-HR" w:eastAsia="sr-Latn-CS"/>
        </w:rPr>
        <w:t>3.2019.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401-182/2019-19, od 16.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4.2019.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401-182/2019-39, od 29.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5.2019. godine i Rješenjem o uporabi sredstava tekuće proračunske pričuv</w:t>
      </w:r>
      <w:r w:rsidR="00C34B98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C82633">
        <w:rPr>
          <w:noProof w:val="0"/>
          <w:sz w:val="22"/>
          <w:szCs w:val="22"/>
          <w:lang w:val="hr-HR" w:eastAsia="sr-Latn-CS"/>
        </w:rPr>
        <w:t>5.11.2019.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055AD5" w:rsidRPr="00055AD5">
        <w:rPr>
          <w:noProof w:val="0"/>
          <w:sz w:val="22"/>
          <w:szCs w:val="22"/>
          <w:lang w:val="hr-HR" w:eastAsia="sr-Latn-CS"/>
        </w:rPr>
        <w:t xml:space="preserve">927.140.232,97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. 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055AD5">
        <w:rPr>
          <w:noProof w:val="0"/>
          <w:sz w:val="22"/>
          <w:szCs w:val="22"/>
          <w:lang w:val="hr-HR" w:eastAsia="sr-Latn-CS"/>
        </w:rPr>
        <w:t>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055AD5">
        <w:rPr>
          <w:noProof w:val="0"/>
          <w:sz w:val="22"/>
          <w:szCs w:val="22"/>
          <w:lang w:val="hr-HR" w:eastAsia="sr-Latn-CS"/>
        </w:rPr>
        <w:t>12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</w:t>
      </w:r>
      <w:r w:rsidR="00055AD5">
        <w:rPr>
          <w:noProof w:val="0"/>
          <w:sz w:val="22"/>
          <w:szCs w:val="22"/>
          <w:lang w:val="hr-HR" w:eastAsia="sr-Latn-CS"/>
        </w:rPr>
        <w:t>mrežnoj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444657" w:rsidRDefault="00375F1D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prihodi i primici Uprave za zajedničke poslove pokrajinskih tijela za 2020. godinu u ukupnom iznosu od 913.472.365,99 dinara (stupac 5. </w:t>
      </w:r>
      <w:r w:rsidRPr="006D095F">
        <w:rPr>
          <w:noProof w:val="0"/>
          <w:sz w:val="22"/>
          <w:szCs w:val="22"/>
          <w:lang w:val="hr-HR" w:eastAsia="sr-Latn-CS"/>
        </w:rPr>
        <w:t>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444657">
        <w:rPr>
          <w:noProof w:val="0"/>
          <w:sz w:val="22"/>
          <w:szCs w:val="22"/>
          <w:lang w:val="hr-HR" w:eastAsia="sr-Latn-CS"/>
        </w:rPr>
        <w:t xml:space="preserve">I.), u skladu s člankom 11. Pokrajinske skupštinske odluke o proračunu Autonomne Pokrajine Vojvodine za 2020. godinu („Službeni list APV“ broj 54/2019, 12/2020-rebalans, 19/2020, 22/2020-rebalans i 25/2020-rebalans),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401-7/2020-21, od 26.02.2020. godine, Rješenjem o prijenosu sredstava u tekuću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401-6/2020-2 od 26.02.2020. godine,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401-7/2020-22, od 04.03.2020. godine i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>: 401-7/2020-36, od 27.05.2020. godine</w:t>
      </w:r>
      <w:r w:rsidR="00D73E13" w:rsidRPr="00444657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rashodi i izdaci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430B73" w:rsidRPr="00430B73">
        <w:rPr>
          <w:noProof w:val="0"/>
          <w:sz w:val="22"/>
          <w:szCs w:val="22"/>
          <w:lang w:val="hr-HR" w:eastAsia="sr-Latn-CS"/>
        </w:rPr>
        <w:t xml:space="preserve">496.78.921,61 </w:t>
      </w:r>
      <w:r w:rsidRPr="00444657">
        <w:rPr>
          <w:noProof w:val="0"/>
          <w:sz w:val="22"/>
          <w:szCs w:val="22"/>
          <w:lang w:val="hr-HR" w:eastAsia="sr-Latn-CS"/>
        </w:rPr>
        <w:t>dinara (</w:t>
      </w:r>
      <w:r w:rsidR="00B145D0" w:rsidRPr="00444657">
        <w:rPr>
          <w:noProof w:val="0"/>
          <w:sz w:val="22"/>
          <w:szCs w:val="22"/>
          <w:lang w:val="hr-HR" w:eastAsia="sr-Latn-CS"/>
        </w:rPr>
        <w:t>stupac</w:t>
      </w:r>
      <w:r w:rsidRPr="00444657">
        <w:rPr>
          <w:noProof w:val="0"/>
          <w:sz w:val="22"/>
          <w:szCs w:val="22"/>
          <w:lang w:val="hr-HR" w:eastAsia="sr-Latn-CS"/>
        </w:rPr>
        <w:t xml:space="preserve"> 6</w:t>
      </w:r>
      <w:r w:rsidR="00B145D0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 Ta</w:t>
      </w:r>
      <w:r w:rsidR="00B145D0" w:rsidRPr="00444657">
        <w:rPr>
          <w:noProof w:val="0"/>
          <w:sz w:val="22"/>
          <w:szCs w:val="22"/>
          <w:lang w:val="hr-HR" w:eastAsia="sr-Latn-CS"/>
        </w:rPr>
        <w:t>blice</w:t>
      </w:r>
      <w:r w:rsidRPr="00444657">
        <w:rPr>
          <w:noProof w:val="0"/>
          <w:sz w:val="22"/>
          <w:szCs w:val="22"/>
          <w:lang w:val="hr-HR" w:eastAsia="sr-Latn-CS"/>
        </w:rPr>
        <w:t xml:space="preserve"> I</w:t>
      </w:r>
      <w:r w:rsidR="00375F1D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), prikazani su u </w:t>
      </w:r>
      <w:r w:rsidR="00B145D0" w:rsidRPr="00444657">
        <w:rPr>
          <w:noProof w:val="0"/>
          <w:sz w:val="22"/>
          <w:szCs w:val="22"/>
          <w:lang w:val="hr-HR" w:eastAsia="sr-Latn-CS"/>
        </w:rPr>
        <w:t>Izvješću</w:t>
      </w:r>
      <w:r w:rsidRPr="00444657">
        <w:rPr>
          <w:noProof w:val="0"/>
          <w:sz w:val="22"/>
          <w:szCs w:val="22"/>
          <w:lang w:val="hr-HR" w:eastAsia="sr-Latn-CS"/>
        </w:rPr>
        <w:t xml:space="preserve"> o izvršenju 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</w:t>
      </w:r>
      <w:r w:rsidR="00B145D0" w:rsidRPr="00444657">
        <w:rPr>
          <w:noProof w:val="0"/>
          <w:sz w:val="22"/>
          <w:szCs w:val="22"/>
          <w:lang w:val="hr-HR" w:eastAsia="sr-Latn-CS"/>
        </w:rPr>
        <w:t>razdoblju</w:t>
      </w:r>
      <w:r w:rsidRPr="00444657">
        <w:rPr>
          <w:noProof w:val="0"/>
          <w:sz w:val="22"/>
          <w:szCs w:val="22"/>
          <w:lang w:val="hr-HR" w:eastAsia="sr-Latn-CS"/>
        </w:rPr>
        <w:t xml:space="preserve"> od</w:t>
      </w:r>
      <w:r w:rsidR="00B145D0" w:rsidRPr="00444657">
        <w:rPr>
          <w:noProof w:val="0"/>
          <w:sz w:val="22"/>
          <w:szCs w:val="22"/>
          <w:lang w:val="hr-HR" w:eastAsia="sr-Latn-CS"/>
        </w:rPr>
        <w:t xml:space="preserve"> 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1.-3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="00430B73">
        <w:rPr>
          <w:noProof w:val="0"/>
          <w:sz w:val="22"/>
          <w:szCs w:val="22"/>
          <w:lang w:val="hr-HR" w:eastAsia="sr-Latn-CS"/>
        </w:rPr>
        <w:t>9</w:t>
      </w:r>
      <w:r w:rsidRPr="00444657">
        <w:rPr>
          <w:noProof w:val="0"/>
          <w:sz w:val="22"/>
          <w:szCs w:val="22"/>
          <w:lang w:val="hr-HR" w:eastAsia="sr-Latn-CS"/>
        </w:rPr>
        <w:t>.20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>. godine (</w:t>
      </w:r>
      <w:r w:rsidR="00B145D0" w:rsidRPr="00444657">
        <w:rPr>
          <w:noProof w:val="0"/>
          <w:sz w:val="22"/>
          <w:szCs w:val="22"/>
          <w:lang w:val="hr-HR" w:eastAsia="sr-Latn-CS"/>
        </w:rPr>
        <w:t>Izvješće</w:t>
      </w:r>
      <w:r w:rsidRPr="00444657">
        <w:rPr>
          <w:noProof w:val="0"/>
          <w:sz w:val="22"/>
          <w:szCs w:val="22"/>
          <w:lang w:val="hr-HR" w:eastAsia="sr-Latn-CS"/>
        </w:rPr>
        <w:t xml:space="preserve"> se nalazi u Sektoru za javne </w:t>
      </w:r>
      <w:r w:rsidR="00B145D0" w:rsidRPr="00444657">
        <w:rPr>
          <w:noProof w:val="0"/>
          <w:sz w:val="22"/>
          <w:szCs w:val="22"/>
          <w:lang w:val="hr-HR" w:eastAsia="sr-Latn-CS"/>
        </w:rPr>
        <w:t>nabav</w:t>
      </w:r>
      <w:r w:rsidRPr="00444657">
        <w:rPr>
          <w:noProof w:val="0"/>
          <w:sz w:val="22"/>
          <w:szCs w:val="22"/>
          <w:lang w:val="hr-HR" w:eastAsia="sr-Latn-CS"/>
        </w:rPr>
        <w:t>e i materijalno-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ijske poslove i na </w:t>
      </w:r>
      <w:r w:rsidR="00430B73">
        <w:rPr>
          <w:noProof w:val="0"/>
          <w:sz w:val="22"/>
          <w:szCs w:val="22"/>
          <w:lang w:val="hr-HR" w:eastAsia="sr-Latn-CS"/>
        </w:rPr>
        <w:t>mrežn</w:t>
      </w:r>
      <w:r w:rsidR="00B145D0" w:rsidRPr="00444657">
        <w:rPr>
          <w:noProof w:val="0"/>
          <w:sz w:val="22"/>
          <w:szCs w:val="22"/>
          <w:lang w:val="hr-HR" w:eastAsia="sr-Latn-CS"/>
        </w:rPr>
        <w:t>oj stranici</w:t>
      </w:r>
      <w:r w:rsidRPr="00444657">
        <w:rPr>
          <w:noProof w:val="0"/>
          <w:sz w:val="22"/>
          <w:szCs w:val="22"/>
          <w:lang w:val="hr-HR" w:eastAsia="sr-Latn-CS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2268"/>
        <w:gridCol w:w="1843"/>
        <w:gridCol w:w="2268"/>
      </w:tblGrid>
      <w:tr w:rsidR="00602071" w:rsidRPr="006D095F" w:rsidTr="00430B73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602071" w:rsidRPr="006D095F" w:rsidRDefault="00602071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055AD5">
              <w:rPr>
                <w:noProof w:val="0"/>
                <w:sz w:val="18"/>
                <w:szCs w:val="18"/>
                <w:lang w:val="hr-HR"/>
              </w:rPr>
              <w:t>31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 w:rsidR="00055AD5">
              <w:rPr>
                <w:noProof w:val="0"/>
                <w:sz w:val="18"/>
                <w:szCs w:val="18"/>
                <w:lang w:val="hr-HR"/>
              </w:rPr>
              <w:t>12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268" w:type="dxa"/>
          </w:tcPr>
          <w:p w:rsidR="00430B73" w:rsidRDefault="00602071" w:rsidP="00430B73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. godini </w:t>
            </w:r>
          </w:p>
          <w:p w:rsidR="00602071" w:rsidRPr="006D095F" w:rsidRDefault="00602071" w:rsidP="00430B73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 w:rsidR="003F3CF5"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="00430B73"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430B73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055AD5" w:rsidRPr="006D095F" w:rsidTr="00055AD5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191.953.346,96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32.930.282,80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</w:tr>
      <w:tr w:rsidR="00055AD5" w:rsidRPr="006D095F" w:rsidTr="00055AD5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5.519.133,27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18.775.917,47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8.462.459,75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</w:tr>
      <w:tr w:rsidR="00055AD5" w:rsidRPr="006D095F" w:rsidTr="00055AD5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749.518,43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</w:tr>
      <w:tr w:rsidR="00055AD5" w:rsidRPr="006D095F" w:rsidTr="00055AD5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152.684.915,83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</w:tr>
      <w:tr w:rsidR="00055AD5" w:rsidRPr="006D095F" w:rsidTr="00055AD5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1.519.458,19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</w:tr>
      <w:tr w:rsidR="00055AD5" w:rsidRPr="006D095F" w:rsidTr="00055AD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95.479.113,51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</w:tr>
      <w:tr w:rsidR="00055AD5" w:rsidRPr="006D095F" w:rsidTr="00055AD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39.418.187,79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</w:tr>
      <w:tr w:rsidR="00055AD5" w:rsidRPr="006D095F" w:rsidTr="00055AD5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112.974.073,18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</w:tr>
      <w:tr w:rsidR="00055AD5" w:rsidRPr="006D095F" w:rsidTr="00055AD5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30.746,67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</w:tr>
      <w:tr w:rsidR="00055AD5" w:rsidRPr="006D095F" w:rsidTr="00055AD5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17.421.490,53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5.911.315,92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055AD5" w:rsidRPr="006D095F" w:rsidTr="00055AD5"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055AD5" w:rsidRPr="006D095F" w:rsidTr="00055AD5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67.016.321,07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</w:tr>
      <w:tr w:rsidR="00055AD5" w:rsidRPr="006D095F" w:rsidTr="00055AD5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268" w:type="dxa"/>
            <w:vAlign w:val="center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170.579.956,64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</w:tr>
      <w:tr w:rsidR="00055AD5" w:rsidRPr="006D095F" w:rsidTr="00055AD5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5AD5" w:rsidRPr="006D095F" w:rsidRDefault="00055AD5" w:rsidP="00055A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55AD5" w:rsidRPr="00602071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268" w:type="dxa"/>
          </w:tcPr>
          <w:p w:rsidR="00055AD5" w:rsidRPr="00055AD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055AD5">
              <w:rPr>
                <w:noProof w:val="0"/>
                <w:sz w:val="18"/>
                <w:szCs w:val="18"/>
                <w:lang w:val="hr-HR"/>
              </w:rPr>
              <w:t>4.192080,00</w:t>
            </w:r>
          </w:p>
        </w:tc>
        <w:tc>
          <w:tcPr>
            <w:tcW w:w="1843" w:type="dxa"/>
            <w:vAlign w:val="center"/>
          </w:tcPr>
          <w:p w:rsidR="00055AD5" w:rsidRPr="003F3CF5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  <w:vAlign w:val="center"/>
          </w:tcPr>
          <w:p w:rsidR="00055AD5" w:rsidRPr="00342910" w:rsidRDefault="00055AD5" w:rsidP="00055A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4291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430B73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3F3CF5" w:rsidRPr="006D095F" w:rsidRDefault="003F3CF5" w:rsidP="009814F5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2268" w:type="dxa"/>
            <w:vAlign w:val="center"/>
          </w:tcPr>
          <w:p w:rsidR="003F3CF5" w:rsidRPr="006D095F" w:rsidRDefault="00055AD5" w:rsidP="00055AD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927</w:t>
            </w:r>
            <w:r w:rsidR="003F3CF5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140</w:t>
            </w:r>
            <w:r w:rsidR="003F3CF5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232</w:t>
            </w:r>
            <w:r w:rsidR="003F3CF5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97</w:t>
            </w:r>
          </w:p>
        </w:tc>
        <w:tc>
          <w:tcPr>
            <w:tcW w:w="1843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3F3CF5" w:rsidRPr="003F3CF5" w:rsidRDefault="00342910" w:rsidP="0034291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496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478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921</w:t>
            </w:r>
            <w:r w:rsidR="003F3CF5" w:rsidRPr="003F3CF5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61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>
        <w:rPr>
          <w:noProof w:val="0"/>
          <w:sz w:val="15"/>
          <w:szCs w:val="15"/>
          <w:lang w:val="hr-HR"/>
        </w:rPr>
        <w:t>08/2013, 142/2014, 68/2015-dr. z</w:t>
      </w:r>
      <w:r w:rsidRPr="00E732BB">
        <w:rPr>
          <w:noProof w:val="0"/>
          <w:sz w:val="15"/>
          <w:szCs w:val="15"/>
          <w:lang w:val="hr-HR"/>
        </w:rPr>
        <w:t>akon, 103/2015 i 99/2016).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513BD9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513BD9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151CFF">
        <w:rPr>
          <w:b/>
          <w:noProof w:val="0"/>
          <w:sz w:val="22"/>
          <w:szCs w:val="22"/>
          <w:lang w:val="hr-HR"/>
        </w:rPr>
        <w:t>studeni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4A74EA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151CFF">
        <w:rPr>
          <w:b/>
          <w:noProof w:val="0"/>
          <w:sz w:val="22"/>
          <w:szCs w:val="22"/>
          <w:lang w:val="hr-HR"/>
        </w:rPr>
        <w:t>studeni</w:t>
      </w:r>
      <w:r w:rsidR="00151CF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4A74EA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4A74EA">
        <w:rPr>
          <w:bCs w:val="0"/>
          <w:noProof w:val="0"/>
          <w:sz w:val="22"/>
          <w:szCs w:val="22"/>
          <w:lang w:val="hr-HR"/>
        </w:rPr>
        <w:t xml:space="preserve">. </w:t>
      </w:r>
      <w:r w:rsidRPr="004A74EA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10.</w:t>
      </w:r>
      <w:r w:rsidR="00151CFF">
        <w:rPr>
          <w:b/>
          <w:bCs w:val="0"/>
          <w:noProof w:val="0"/>
          <w:sz w:val="22"/>
          <w:szCs w:val="22"/>
          <w:lang w:val="hr-HR"/>
        </w:rPr>
        <w:t>581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.</w:t>
      </w:r>
      <w:r w:rsidR="00151CFF">
        <w:rPr>
          <w:b/>
          <w:bCs w:val="0"/>
          <w:noProof w:val="0"/>
          <w:sz w:val="22"/>
          <w:szCs w:val="22"/>
          <w:lang w:val="hr-HR"/>
        </w:rPr>
        <w:t>710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,</w:t>
      </w:r>
      <w:r w:rsidR="00151CFF">
        <w:rPr>
          <w:b/>
          <w:bCs w:val="0"/>
          <w:noProof w:val="0"/>
          <w:sz w:val="22"/>
          <w:szCs w:val="22"/>
          <w:lang w:val="hr-HR"/>
        </w:rPr>
        <w:t>28</w:t>
      </w:r>
      <w:r w:rsidR="004A74EA" w:rsidRPr="00CD38D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4A74EA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  <w:vAlign w:val="center"/>
          </w:tcPr>
          <w:p w:rsidR="004A74EA" w:rsidRPr="00151CFF" w:rsidRDefault="004A74EA" w:rsidP="00151CFF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151CFF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151CFF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151CFF">
              <w:rPr>
                <w:bCs w:val="0"/>
                <w:noProof w:val="0"/>
                <w:sz w:val="22"/>
                <w:szCs w:val="22"/>
                <w:lang w:val="hr-HR"/>
              </w:rPr>
              <w:t>208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151CFF">
              <w:rPr>
                <w:bCs w:val="0"/>
                <w:noProof w:val="0"/>
                <w:sz w:val="22"/>
                <w:szCs w:val="22"/>
                <w:lang w:val="hr-HR"/>
              </w:rPr>
              <w:t>444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151CF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  <w:vAlign w:val="center"/>
          </w:tcPr>
          <w:p w:rsidR="004A74EA" w:rsidRPr="00466DE4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  <w:vAlign w:val="center"/>
          </w:tcPr>
          <w:p w:rsidR="004A74EA" w:rsidRPr="00466DE4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12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326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9814F5">
              <w:rPr>
                <w:bCs w:val="0"/>
                <w:noProof w:val="0"/>
                <w:sz w:val="22"/>
                <w:szCs w:val="22"/>
                <w:lang w:val="hr-HR"/>
              </w:rPr>
              <w:t>97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  <w:vAlign w:val="center"/>
          </w:tcPr>
          <w:p w:rsidR="004A74EA" w:rsidRPr="00B94FD5" w:rsidRDefault="00151CFF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  <w:vAlign w:val="center"/>
          </w:tcPr>
          <w:p w:rsidR="004A74EA" w:rsidRPr="004A74EA" w:rsidRDefault="00D71F16" w:rsidP="00D71F16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302</w:t>
            </w:r>
            <w:r w:rsidR="004A74EA"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588</w:t>
            </w:r>
            <w:r w:rsidR="004A74EA"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4A74EA" w:rsidRPr="006D095F" w:rsidTr="009814F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9814F5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4A74EA" w:rsidRDefault="004A74EA" w:rsidP="009814F5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0836E2" w:rsidRPr="006D095F" w:rsidTr="009814F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  <w:vAlign w:val="center"/>
          </w:tcPr>
          <w:p w:rsidR="000836E2" w:rsidRPr="00466DE4" w:rsidRDefault="000836E2" w:rsidP="00452938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452938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  <w:vAlign w:val="center"/>
          </w:tcPr>
          <w:p w:rsidR="000836E2" w:rsidRPr="005D107B" w:rsidRDefault="000836E2" w:rsidP="00452938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4.</w:t>
            </w:r>
            <w:r w:rsidR="00452938">
              <w:rPr>
                <w:bCs w:val="0"/>
                <w:noProof w:val="0"/>
                <w:sz w:val="22"/>
                <w:szCs w:val="22"/>
                <w:lang w:val="hr-HR"/>
              </w:rPr>
              <w:t>792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452938">
              <w:rPr>
                <w:bCs w:val="0"/>
                <w:noProof w:val="0"/>
                <w:sz w:val="22"/>
                <w:szCs w:val="22"/>
                <w:lang w:val="hr-HR"/>
              </w:rPr>
              <w:t>444</w:t>
            </w: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5D107B"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  <w:r w:rsidR="00452938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</w:tr>
      <w:tr w:rsidR="000836E2" w:rsidRPr="006D095F" w:rsidTr="009814F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  <w:vAlign w:val="center"/>
          </w:tcPr>
          <w:p w:rsidR="000836E2" w:rsidRPr="000836E2" w:rsidRDefault="000836E2" w:rsidP="00151CFF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151CFF"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23" w:type="dxa"/>
            <w:vAlign w:val="center"/>
          </w:tcPr>
          <w:p w:rsidR="000836E2" w:rsidRPr="00591648" w:rsidRDefault="00D71F16" w:rsidP="00D71F16">
            <w:pPr>
              <w:tabs>
                <w:tab w:val="left" w:pos="-110"/>
                <w:tab w:val="left" w:pos="1060"/>
              </w:tabs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885</w:t>
            </w:r>
            <w:r w:rsidR="000836E2" w:rsidRPr="000836E2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728</w:t>
            </w:r>
            <w:r w:rsidR="000836E2" w:rsidRPr="000836E2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62</w:t>
            </w:r>
          </w:p>
        </w:tc>
      </w:tr>
      <w:tr w:rsidR="004A74EA" w:rsidRPr="006D095F" w:rsidTr="009814F5">
        <w:trPr>
          <w:trHeight w:val="481"/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14F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4A74EA" w:rsidRPr="004A74EA" w:rsidRDefault="004A74EA" w:rsidP="00151CFF">
            <w:pPr>
              <w:ind w:right="815"/>
              <w:jc w:val="right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452938">
              <w:rPr>
                <w:b/>
                <w:bCs w:val="0"/>
                <w:noProof w:val="0"/>
                <w:sz w:val="22"/>
                <w:szCs w:val="22"/>
                <w:lang w:val="hr-HR"/>
              </w:rPr>
              <w:t>6</w:t>
            </w:r>
            <w:r w:rsidR="00151CFF">
              <w:rPr>
                <w:b/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  <w:vAlign w:val="center"/>
          </w:tcPr>
          <w:p w:rsidR="004A74EA" w:rsidRPr="00466DE4" w:rsidRDefault="004A74EA" w:rsidP="00151CFF">
            <w:pPr>
              <w:ind w:right="177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151CFF">
              <w:rPr>
                <w:b/>
                <w:bCs w:val="0"/>
                <w:noProof w:val="0"/>
                <w:sz w:val="22"/>
                <w:szCs w:val="22"/>
                <w:lang w:val="hr-HR"/>
              </w:rPr>
              <w:t>581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151CFF">
              <w:rPr>
                <w:b/>
                <w:bCs w:val="0"/>
                <w:noProof w:val="0"/>
                <w:sz w:val="22"/>
                <w:szCs w:val="22"/>
                <w:lang w:val="hr-HR"/>
              </w:rPr>
              <w:t>710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151CFF">
              <w:rPr>
                <w:b/>
                <w:bCs w:val="0"/>
                <w:noProof w:val="0"/>
                <w:sz w:val="22"/>
                <w:szCs w:val="22"/>
                <w:lang w:val="hr-HR"/>
              </w:rPr>
              <w:t>28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6D095F" w:rsidTr="00985495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985495">
        <w:trPr>
          <w:trHeight w:val="339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417"/>
        <w:gridCol w:w="1417"/>
        <w:gridCol w:w="1417"/>
        <w:gridCol w:w="1514"/>
        <w:gridCol w:w="1417"/>
        <w:gridCol w:w="1418"/>
      </w:tblGrid>
      <w:tr w:rsidR="00D232E7" w:rsidRPr="006D095F" w:rsidTr="00D71F16">
        <w:tc>
          <w:tcPr>
            <w:tcW w:w="2735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6D095F" w:rsidTr="00D71F16">
        <w:tc>
          <w:tcPr>
            <w:tcW w:w="2735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C0592" w:rsidRPr="006D095F" w:rsidTr="00D71F16">
        <w:trPr>
          <w:trHeight w:val="505"/>
        </w:trPr>
        <w:tc>
          <w:tcPr>
            <w:tcW w:w="2735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9C0592" w:rsidRPr="009814F5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34</w:t>
            </w:r>
            <w:r w:rsidR="009814F5" w:rsidRPr="009814F5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080</w:t>
            </w:r>
            <w:r w:rsidR="009814F5" w:rsidRPr="009814F5">
              <w:rPr>
                <w:bCs w:val="0"/>
                <w:noProof w:val="0"/>
                <w:sz w:val="18"/>
                <w:szCs w:val="18"/>
                <w:lang w:val="hr-HR"/>
              </w:rPr>
              <w:t>,75</w:t>
            </w:r>
          </w:p>
        </w:tc>
        <w:tc>
          <w:tcPr>
            <w:tcW w:w="1360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52938" w:rsidRPr="006D095F" w:rsidTr="00D71F16">
        <w:tc>
          <w:tcPr>
            <w:tcW w:w="2735" w:type="dxa"/>
            <w:vAlign w:val="center"/>
          </w:tcPr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452938" w:rsidRPr="00452938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19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815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</w:p>
        </w:tc>
        <w:tc>
          <w:tcPr>
            <w:tcW w:w="1360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52938" w:rsidRPr="006D095F" w:rsidTr="00D71F16">
        <w:tc>
          <w:tcPr>
            <w:tcW w:w="2735" w:type="dxa"/>
            <w:vAlign w:val="center"/>
          </w:tcPr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452938" w:rsidRPr="00452938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152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040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70</w:t>
            </w:r>
          </w:p>
        </w:tc>
        <w:tc>
          <w:tcPr>
            <w:tcW w:w="1360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52938" w:rsidRPr="006D095F" w:rsidTr="00D71F16">
        <w:trPr>
          <w:trHeight w:val="435"/>
        </w:trPr>
        <w:tc>
          <w:tcPr>
            <w:tcW w:w="2735" w:type="dxa"/>
            <w:vAlign w:val="center"/>
          </w:tcPr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452938" w:rsidRPr="00452938" w:rsidRDefault="00452938" w:rsidP="0045293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52938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360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52938" w:rsidRPr="006D095F" w:rsidTr="00D71F16">
        <w:trPr>
          <w:trHeight w:val="363"/>
        </w:trPr>
        <w:tc>
          <w:tcPr>
            <w:tcW w:w="2735" w:type="dxa"/>
            <w:vAlign w:val="center"/>
          </w:tcPr>
          <w:p w:rsidR="00452938" w:rsidRPr="006D095F" w:rsidRDefault="00452938" w:rsidP="00452938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452938" w:rsidRPr="00452938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10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393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293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60</w:t>
            </w:r>
          </w:p>
        </w:tc>
        <w:tc>
          <w:tcPr>
            <w:tcW w:w="1360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452938" w:rsidRPr="009C0592" w:rsidRDefault="00452938" w:rsidP="0045293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52938" w:rsidRPr="00466DE4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837</w:t>
            </w:r>
            <w:r w:rsidR="00452938"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468</w:t>
            </w:r>
            <w:r w:rsidR="00452938" w:rsidRPr="00466DE4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452938" w:rsidRPr="00452938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296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083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58</w:t>
            </w:r>
          </w:p>
        </w:tc>
        <w:tc>
          <w:tcPr>
            <w:tcW w:w="1514" w:type="dxa"/>
            <w:vAlign w:val="center"/>
          </w:tcPr>
          <w:p w:rsidR="00452938" w:rsidRPr="00452938" w:rsidRDefault="00452938" w:rsidP="0045293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52938">
              <w:rPr>
                <w:bCs w:val="0"/>
                <w:noProof w:val="0"/>
                <w:sz w:val="18"/>
                <w:szCs w:val="18"/>
                <w:lang w:val="hr-HR"/>
              </w:rPr>
              <w:t>9.695.578,03</w:t>
            </w:r>
          </w:p>
        </w:tc>
        <w:tc>
          <w:tcPr>
            <w:tcW w:w="1417" w:type="dxa"/>
            <w:vAlign w:val="center"/>
          </w:tcPr>
          <w:p w:rsidR="00452938" w:rsidRPr="00452938" w:rsidRDefault="00D71F16" w:rsidP="00452938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.975,00</w:t>
            </w:r>
          </w:p>
        </w:tc>
        <w:tc>
          <w:tcPr>
            <w:tcW w:w="1418" w:type="dxa"/>
            <w:vAlign w:val="center"/>
          </w:tcPr>
          <w:p w:rsidR="00452938" w:rsidRPr="00452938" w:rsidRDefault="00D71F16" w:rsidP="00D71F16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421</w:t>
            </w:r>
            <w:r w:rsidR="00452938" w:rsidRPr="00452938">
              <w:rPr>
                <w:bCs w:val="0"/>
                <w:noProof w:val="0"/>
                <w:sz w:val="18"/>
                <w:szCs w:val="18"/>
                <w:lang w:val="hr-HR"/>
              </w:rPr>
              <w:t>,76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452938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6D095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6D095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6D095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45293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452938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6D095F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6D095F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>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</w:t>
      </w:r>
      <w:r w:rsidR="00124082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>
        <w:rPr>
          <w:noProof w:val="0"/>
          <w:sz w:val="22"/>
          <w:szCs w:val="22"/>
          <w:lang w:val="hr-HR"/>
        </w:rPr>
        <w:t>....................</w:t>
      </w:r>
      <w:r w:rsidR="00FA0FBF" w:rsidRPr="006D095F">
        <w:rPr>
          <w:noProof w:val="0"/>
          <w:sz w:val="22"/>
          <w:szCs w:val="22"/>
          <w:lang w:val="hr-HR"/>
        </w:rPr>
        <w:t>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D9" w:rsidRDefault="00513BD9">
      <w:r>
        <w:separator/>
      </w:r>
    </w:p>
  </w:endnote>
  <w:endnote w:type="continuationSeparator" w:id="0">
    <w:p w:rsidR="00513BD9" w:rsidRDefault="005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Default="00151CF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151CFF" w:rsidRDefault="00151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8C6F80" w:rsidRDefault="00151CFF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03060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151CFF" w:rsidRPr="00EE5566" w:rsidRDefault="00151CFF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8C6F80" w:rsidRDefault="00151CFF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03060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151CFF" w:rsidRDefault="00151C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Default="00151CF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151CFF" w:rsidRDefault="00151CF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8C6F80" w:rsidRDefault="00151CFF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03060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151CFF" w:rsidRDefault="00151CFF" w:rsidP="0069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D9" w:rsidRDefault="00513BD9">
      <w:r>
        <w:separator/>
      </w:r>
    </w:p>
  </w:footnote>
  <w:footnote w:type="continuationSeparator" w:id="0">
    <w:p w:rsidR="00513BD9" w:rsidRDefault="005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1B7D9D" w:rsidRDefault="00151CF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51CFF" w:rsidRPr="00CD4F70" w:rsidRDefault="00151CF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51CFF" w:rsidRPr="00F900E9" w:rsidRDefault="00151CF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51CFF" w:rsidRPr="00EC0386" w:rsidRDefault="00151CF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51CFF" w:rsidRDefault="00151CF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151CFF" w:rsidRPr="009151C6" w:rsidRDefault="00151CFF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1B7D9D" w:rsidRDefault="00151CFF" w:rsidP="002834A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51CFF" w:rsidRPr="00CD4F70" w:rsidRDefault="00151CFF" w:rsidP="002834A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51CFF" w:rsidRPr="00F900E9" w:rsidRDefault="00151CFF" w:rsidP="002834AD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51CFF" w:rsidRPr="00EC0386" w:rsidRDefault="00151CFF" w:rsidP="002834A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51CFF" w:rsidRPr="002834AD" w:rsidRDefault="00151CFF" w:rsidP="002834AD">
    <w:pPr>
      <w:pStyle w:val="Header"/>
      <w:jc w:val="center"/>
      <w:rPr>
        <w:b/>
        <w:sz w:val="18"/>
        <w:szCs w:val="18"/>
        <w:lang w:val="sr-Cyrl-RS"/>
      </w:rPr>
    </w:pPr>
    <w:r w:rsidRPr="002834AD">
      <w:rPr>
        <w:b/>
        <w:sz w:val="18"/>
        <w:szCs w:val="18"/>
        <w:lang w:val="sr-Cyrl-RS"/>
      </w:rPr>
      <w:t>Datum posljednjeg ažuriranja: 3</w:t>
    </w:r>
    <w:r w:rsidR="00D71F16">
      <w:rPr>
        <w:b/>
        <w:sz w:val="18"/>
        <w:szCs w:val="18"/>
        <w:lang w:val="hr-HR"/>
      </w:rPr>
      <w:t>1</w:t>
    </w:r>
    <w:r w:rsidRPr="002834AD">
      <w:rPr>
        <w:b/>
        <w:sz w:val="18"/>
        <w:szCs w:val="18"/>
        <w:lang w:val="sr-Cyrl-RS"/>
      </w:rPr>
      <w:t>.1</w:t>
    </w:r>
    <w:r w:rsidR="00D71F16">
      <w:rPr>
        <w:b/>
        <w:sz w:val="18"/>
        <w:szCs w:val="18"/>
        <w:lang w:val="hr-HR"/>
      </w:rPr>
      <w:t>2</w:t>
    </w:r>
    <w:r w:rsidRPr="002834AD">
      <w:rPr>
        <w:b/>
        <w:sz w:val="18"/>
        <w:szCs w:val="18"/>
        <w:lang w:val="sr-Cyrl-RS"/>
      </w:rPr>
      <w:t>.2020.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F" w:rsidRPr="001B7D9D" w:rsidRDefault="00151CF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51CFF" w:rsidRPr="00CD4F70" w:rsidRDefault="00151CF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51CFF" w:rsidRPr="00F900E9" w:rsidRDefault="00151CF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51CFF" w:rsidRPr="00EC0386" w:rsidRDefault="00151CF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51CFF" w:rsidRDefault="00151CF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31.12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151CFF" w:rsidRPr="009151C6" w:rsidRDefault="00151CFF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3CF5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3BD9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107B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3060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E92A9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6E68-E18E-4ECB-BDFF-4EDB03C4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11222</Words>
  <Characters>63967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75039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59</cp:revision>
  <cp:lastPrinted>2021-01-11T13:45:00Z</cp:lastPrinted>
  <dcterms:created xsi:type="dcterms:W3CDTF">2019-10-14T12:12:00Z</dcterms:created>
  <dcterms:modified xsi:type="dcterms:W3CDTF">2021-01-11T13:45:00Z</dcterms:modified>
</cp:coreProperties>
</file>